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77122F">
      <w:pPr>
        <w:ind w:firstLine="3080" w:firstLineChars="1100"/>
        <w:jc w:val="both"/>
        <w:rPr>
          <w:rFonts w:hint="default"/>
          <w:sz w:val="28"/>
          <w:szCs w:val="28"/>
          <w:lang w:val="en-US" w:eastAsia="zh-CN"/>
        </w:rPr>
      </w:pPr>
      <w:r>
        <w:rPr>
          <w:rFonts w:hint="default"/>
          <w:sz w:val="28"/>
          <w:szCs w:val="28"/>
          <w:lang w:val="en-US" w:eastAsia="zh-CN"/>
        </w:rPr>
        <w:t>公司简介</w:t>
      </w:r>
    </w:p>
    <w:p w14:paraId="031B242D">
      <w:pPr>
        <w:jc w:val="both"/>
        <w:rPr>
          <w:rFonts w:hint="default"/>
          <w:sz w:val="28"/>
          <w:szCs w:val="28"/>
          <w:lang w:val="en-US" w:eastAsia="zh-CN"/>
        </w:rPr>
      </w:pPr>
    </w:p>
    <w:p w14:paraId="693ED79B">
      <w:pPr>
        <w:jc w:val="both"/>
        <w:rPr>
          <w:rFonts w:hint="default"/>
          <w:sz w:val="28"/>
          <w:szCs w:val="28"/>
          <w:lang w:val="en-US" w:eastAsia="zh-CN"/>
        </w:rPr>
      </w:pPr>
      <w:r>
        <w:rPr>
          <w:rFonts w:hint="default"/>
          <w:sz w:val="28"/>
          <w:szCs w:val="28"/>
          <w:lang w:val="en-US" w:eastAsia="zh-CN"/>
        </w:rPr>
        <w:t>第一章：企业定位与使命愿景——创领智慧物流新纪元</w:t>
      </w:r>
    </w:p>
    <w:p w14:paraId="240DB3AD">
      <w:pPr>
        <w:jc w:val="both"/>
        <w:rPr>
          <w:rFonts w:hint="default"/>
          <w:sz w:val="28"/>
          <w:szCs w:val="28"/>
          <w:lang w:val="en-US" w:eastAsia="zh-CN"/>
        </w:rPr>
      </w:pPr>
      <w:r>
        <w:rPr>
          <w:rFonts w:hint="default"/>
          <w:sz w:val="28"/>
          <w:szCs w:val="28"/>
          <w:lang w:val="en-US" w:eastAsia="zh-CN"/>
        </w:rPr>
        <w:t>深圳市湘祁智慧物流有限公司（以下简称“湘祁物流”或“公司”）成立于2022年，坐落于中国创新前沿阵地——深圳。自创立之初，公司便精准定位于一家以自主科技创新为核心驱动力的现代国际物流解决方案提供商。区别于传统的货运代理企业，湘祁物流本质上是一家深度赋能于物流产业的科技公司，其业务根基建立在自主研发的软件平台、智能算法与专利技术之上。</w:t>
      </w:r>
    </w:p>
    <w:p w14:paraId="729CAF28">
      <w:pPr>
        <w:jc w:val="both"/>
        <w:rPr>
          <w:rFonts w:hint="default"/>
          <w:sz w:val="28"/>
          <w:szCs w:val="28"/>
          <w:lang w:val="en-US" w:eastAsia="zh-CN"/>
        </w:rPr>
      </w:pPr>
      <w:r>
        <w:rPr>
          <w:rFonts w:hint="default"/>
          <w:sz w:val="28"/>
          <w:szCs w:val="28"/>
          <w:lang w:val="en-US" w:eastAsia="zh-CN"/>
        </w:rPr>
        <w:t>公司的使命是：“以科技创新，为中小微企业破解跨境物流难题，让全球贸易流转更高效、更简单。” 我们深刻理解中小微企业在“出海”过程中面临的挑战：流程不透明、时效不可控、成本高企、个性化需求难以满足。因此，湘祁物流立志成为他们的战略伙伴，提供不仅限于运输的综合性智慧解决方案。</w:t>
      </w:r>
    </w:p>
    <w:p w14:paraId="12895306">
      <w:pPr>
        <w:jc w:val="both"/>
        <w:rPr>
          <w:rFonts w:hint="default"/>
          <w:sz w:val="28"/>
          <w:szCs w:val="28"/>
          <w:lang w:val="en-US" w:eastAsia="zh-CN"/>
        </w:rPr>
      </w:pPr>
      <w:r>
        <w:rPr>
          <w:rFonts w:hint="default"/>
          <w:sz w:val="28"/>
          <w:szCs w:val="28"/>
          <w:lang w:val="en-US" w:eastAsia="zh-CN"/>
        </w:rPr>
        <w:t>我们的愿景是成为全球领先的、备受信赖的智慧物流品牌。通过持续的技术迭代与服务升级，将“湘祁”打造成为客户满意、员工自豪、行业推崇的标杆企业，为“一带一路”倡议下的全球贸易畅通贡献科技力量。</w:t>
      </w:r>
    </w:p>
    <w:p w14:paraId="381E4338">
      <w:pPr>
        <w:jc w:val="both"/>
        <w:rPr>
          <w:rFonts w:hint="default"/>
          <w:sz w:val="28"/>
          <w:szCs w:val="28"/>
          <w:lang w:val="en-US" w:eastAsia="zh-CN"/>
        </w:rPr>
      </w:pPr>
      <w:r>
        <w:rPr>
          <w:rFonts w:hint="default"/>
          <w:sz w:val="28"/>
          <w:szCs w:val="28"/>
          <w:lang w:val="en-US" w:eastAsia="zh-CN"/>
        </w:rPr>
        <w:t>第二章：核心优势与科技壁垒——技术驱动，铸就卓越实力</w:t>
      </w:r>
    </w:p>
    <w:p w14:paraId="50F45804">
      <w:pPr>
        <w:jc w:val="both"/>
        <w:rPr>
          <w:rFonts w:hint="default"/>
          <w:sz w:val="28"/>
          <w:szCs w:val="28"/>
          <w:lang w:val="en-US" w:eastAsia="zh-CN"/>
        </w:rPr>
      </w:pPr>
    </w:p>
    <w:p w14:paraId="23BB3304">
      <w:pPr>
        <w:jc w:val="both"/>
        <w:rPr>
          <w:rFonts w:hint="default"/>
          <w:sz w:val="28"/>
          <w:szCs w:val="28"/>
          <w:lang w:val="en-US" w:eastAsia="zh-CN"/>
        </w:rPr>
      </w:pPr>
      <w:r>
        <w:rPr>
          <w:rFonts w:hint="default"/>
          <w:sz w:val="28"/>
          <w:szCs w:val="28"/>
          <w:lang w:val="en-US" w:eastAsia="zh-CN"/>
        </w:rPr>
        <w:t>湘祁物流的护城河，源于其对技术研发的长期投入和已构建的知识产权体系。公司已被认定为国家科技型中小企业和创新型中小企业，并正在积极申报国家高新技术企业，这标志着其科技创新能力获得了国家的初步认可。</w:t>
      </w:r>
    </w:p>
    <w:p w14:paraId="18703F83">
      <w:pPr>
        <w:numPr>
          <w:ilvl w:val="0"/>
          <w:numId w:val="1"/>
        </w:numPr>
        <w:jc w:val="both"/>
        <w:rPr>
          <w:rFonts w:hint="default"/>
          <w:sz w:val="28"/>
          <w:szCs w:val="28"/>
          <w:lang w:val="en-US" w:eastAsia="zh-CN"/>
        </w:rPr>
      </w:pPr>
      <w:r>
        <w:rPr>
          <w:rFonts w:hint="default"/>
          <w:sz w:val="28"/>
          <w:szCs w:val="28"/>
          <w:lang w:val="en-US" w:eastAsia="zh-CN"/>
        </w:rPr>
        <w:t>雄厚的知识产权资产：</w:t>
      </w:r>
    </w:p>
    <w:p w14:paraId="24A10D26">
      <w:pPr>
        <w:numPr>
          <w:ilvl w:val="0"/>
          <w:numId w:val="0"/>
        </w:numPr>
        <w:jc w:val="both"/>
        <w:rPr>
          <w:rFonts w:hint="default"/>
          <w:sz w:val="28"/>
          <w:szCs w:val="28"/>
          <w:lang w:val="en-US" w:eastAsia="zh-CN"/>
        </w:rPr>
      </w:pPr>
      <w:r>
        <w:rPr>
          <w:rFonts w:hint="default"/>
          <w:sz w:val="28"/>
          <w:szCs w:val="28"/>
          <w:lang w:val="en-US" w:eastAsia="zh-CN"/>
        </w:rPr>
        <w:t>软件著作权体系： 目前已成功获得</w:t>
      </w:r>
      <w:r>
        <w:rPr>
          <w:rFonts w:hint="eastAsia"/>
          <w:sz w:val="28"/>
          <w:szCs w:val="28"/>
          <w:lang w:val="en-US" w:eastAsia="zh-CN"/>
        </w:rPr>
        <w:t>54</w:t>
      </w:r>
      <w:bookmarkStart w:id="0" w:name="_GoBack"/>
      <w:bookmarkEnd w:id="0"/>
      <w:r>
        <w:rPr>
          <w:rFonts w:hint="default"/>
          <w:sz w:val="28"/>
          <w:szCs w:val="28"/>
          <w:lang w:val="en-US" w:eastAsia="zh-CN"/>
        </w:rPr>
        <w:t>项与物流管理密切相关的计算机软件著作权，覆盖了订单管理、运输追踪、仓储管理、智能调度、客户关系管理等全业务流程。这构成了公司数字化运营的“中枢神经”。</w:t>
      </w:r>
    </w:p>
    <w:p w14:paraId="616C8833">
      <w:pPr>
        <w:jc w:val="both"/>
        <w:rPr>
          <w:rFonts w:hint="default"/>
          <w:sz w:val="28"/>
          <w:szCs w:val="28"/>
          <w:lang w:val="en-US" w:eastAsia="zh-CN"/>
        </w:rPr>
      </w:pPr>
      <w:r>
        <w:rPr>
          <w:rFonts w:hint="default"/>
          <w:sz w:val="28"/>
          <w:szCs w:val="28"/>
          <w:lang w:val="en-US" w:eastAsia="zh-CN"/>
        </w:rPr>
        <w:t>· 发明专利突破： 已有2项发明专利获得授权，特别是“基于运转期限的货物仓储管理方法及装置”，直接针对行业痛点，通过智能化手段优化库存周转，确保货物在仓内的高效流转。另有7项专利正在申请中，展现了强大的持续创新能力。</w:t>
      </w:r>
    </w:p>
    <w:p w14:paraId="2CE6C9D6">
      <w:pPr>
        <w:jc w:val="both"/>
        <w:rPr>
          <w:rFonts w:hint="default"/>
          <w:sz w:val="28"/>
          <w:szCs w:val="28"/>
          <w:lang w:val="en-US" w:eastAsia="zh-CN"/>
        </w:rPr>
      </w:pPr>
      <w:r>
        <w:rPr>
          <w:rFonts w:hint="default"/>
          <w:sz w:val="28"/>
          <w:szCs w:val="28"/>
          <w:lang w:val="en-US" w:eastAsia="zh-CN"/>
        </w:rPr>
        <w:t>· 标准制定参与： 公司参与发布的团体标准，体现了其在行业内的技术话语权和推动行业规范发展的责任感。</w:t>
      </w:r>
    </w:p>
    <w:p w14:paraId="1C4E9EBC">
      <w:pPr>
        <w:jc w:val="both"/>
        <w:rPr>
          <w:rFonts w:hint="default"/>
          <w:sz w:val="28"/>
          <w:szCs w:val="28"/>
          <w:lang w:val="en-US" w:eastAsia="zh-CN"/>
        </w:rPr>
      </w:pPr>
      <w:r>
        <w:rPr>
          <w:rFonts w:hint="default"/>
          <w:sz w:val="28"/>
          <w:szCs w:val="28"/>
          <w:lang w:val="en-US" w:eastAsia="zh-CN"/>
        </w:rPr>
        <w:t>2. 严格的质量管理体系：</w:t>
      </w:r>
    </w:p>
    <w:p w14:paraId="66D7E0BD">
      <w:pPr>
        <w:jc w:val="both"/>
        <w:rPr>
          <w:rFonts w:hint="default"/>
          <w:sz w:val="28"/>
          <w:szCs w:val="28"/>
          <w:lang w:val="en-US" w:eastAsia="zh-CN"/>
        </w:rPr>
      </w:pPr>
      <w:r>
        <w:rPr>
          <w:rFonts w:hint="default"/>
          <w:sz w:val="28"/>
          <w:szCs w:val="28"/>
          <w:lang w:val="en-US" w:eastAsia="zh-CN"/>
        </w:rPr>
        <w:t>公司全面通过了ISO9001质量管理体系认证，这意味着从客户咨询、方案设计、运输操作到售后服务的每一个环节，都有标准化的流程和持续改进的机制作为保障，确保了服务质量的稳定性和可靠性。</w:t>
      </w:r>
    </w:p>
    <w:p w14:paraId="4B73B633">
      <w:pPr>
        <w:jc w:val="both"/>
        <w:rPr>
          <w:rFonts w:hint="default"/>
          <w:sz w:val="28"/>
          <w:szCs w:val="28"/>
          <w:lang w:val="en-US" w:eastAsia="zh-CN"/>
        </w:rPr>
      </w:pPr>
      <w:r>
        <w:rPr>
          <w:rFonts w:hint="default"/>
          <w:sz w:val="28"/>
          <w:szCs w:val="28"/>
          <w:lang w:val="en-US" w:eastAsia="zh-CN"/>
        </w:rPr>
        <w:t>3. 前瞻性的品牌布局：</w:t>
      </w:r>
    </w:p>
    <w:p w14:paraId="7A38DDBE">
      <w:pPr>
        <w:jc w:val="both"/>
        <w:rPr>
          <w:rFonts w:hint="default"/>
          <w:sz w:val="28"/>
          <w:szCs w:val="28"/>
          <w:lang w:val="en-US" w:eastAsia="zh-CN"/>
        </w:rPr>
      </w:pPr>
      <w:r>
        <w:rPr>
          <w:rFonts w:hint="default"/>
          <w:sz w:val="28"/>
          <w:szCs w:val="28"/>
          <w:lang w:val="en-US" w:eastAsia="zh-CN"/>
        </w:rPr>
        <w:t>已完成第35类（广告销售）、39类（运输仓储）等重要类别的商标注册，为建设自主品牌、提升品牌价值奠定了坚实的法律基础，彰显了公司长远发展的决心。</w:t>
      </w:r>
    </w:p>
    <w:p w14:paraId="38C7AC84">
      <w:pPr>
        <w:jc w:val="both"/>
        <w:rPr>
          <w:rFonts w:hint="default"/>
          <w:sz w:val="28"/>
          <w:szCs w:val="28"/>
          <w:lang w:val="en-US" w:eastAsia="zh-CN"/>
        </w:rPr>
      </w:pPr>
      <w:r>
        <w:rPr>
          <w:rFonts w:hint="default"/>
          <w:sz w:val="28"/>
          <w:szCs w:val="28"/>
          <w:lang w:val="en-US" w:eastAsia="zh-CN"/>
        </w:rPr>
        <w:t>第三章：全球化服务网络与综合解决方案——连接世界，服务本土</w:t>
      </w:r>
    </w:p>
    <w:p w14:paraId="481DED2A">
      <w:pPr>
        <w:jc w:val="both"/>
        <w:rPr>
          <w:rFonts w:hint="default"/>
          <w:sz w:val="28"/>
          <w:szCs w:val="28"/>
          <w:lang w:val="en-US" w:eastAsia="zh-CN"/>
        </w:rPr>
      </w:pPr>
      <w:r>
        <w:rPr>
          <w:rFonts w:hint="default"/>
          <w:sz w:val="28"/>
          <w:szCs w:val="28"/>
          <w:lang w:val="en-US" w:eastAsia="zh-CN"/>
        </w:rPr>
        <w:t>湘祁物流依托科技平台，整合全球优质资源，构建了一张跨区域、网络化、信息化、智能化的全球物流服务网络。</w:t>
      </w:r>
    </w:p>
    <w:p w14:paraId="3C83219A">
      <w:pPr>
        <w:jc w:val="both"/>
        <w:rPr>
          <w:rFonts w:hint="default"/>
          <w:sz w:val="28"/>
          <w:szCs w:val="28"/>
          <w:lang w:val="en-US" w:eastAsia="zh-CN"/>
        </w:rPr>
      </w:pPr>
      <w:r>
        <w:rPr>
          <w:rFonts w:hint="default"/>
          <w:sz w:val="28"/>
          <w:szCs w:val="28"/>
          <w:lang w:val="en-US" w:eastAsia="zh-CN"/>
        </w:rPr>
        <w:t>1. 多元化的运输方式： 公司具备强大的资源整合能力，能为客户提供包括航空空运、航海运输、国际铁路运输及跨境公路运输在内的多种运输方案。可根据货物的特性、时效要求及成本预算，为客户量身定制最优的联运路径。</w:t>
      </w:r>
    </w:p>
    <w:p w14:paraId="621ADF11">
      <w:pPr>
        <w:jc w:val="both"/>
        <w:rPr>
          <w:rFonts w:hint="default"/>
          <w:sz w:val="28"/>
          <w:szCs w:val="28"/>
          <w:lang w:val="en-US" w:eastAsia="zh-CN"/>
        </w:rPr>
      </w:pPr>
      <w:r>
        <w:rPr>
          <w:rFonts w:hint="default"/>
          <w:sz w:val="28"/>
          <w:szCs w:val="28"/>
          <w:lang w:val="en-US" w:eastAsia="zh-CN"/>
        </w:rPr>
        <w:t>2. 端到端的服务体系： 我们提供的远不止“港到港”运输，而是真正的“门到门”一站式服务。服务链条向前延伸至客户的工厂或仓库，提供提货、国内运输；向后覆盖至目的国的清关、仓储、本地配送直至最终收货人手中。目前，这一稳定优质的服务网络已覆盖全球80多个国家和地区。</w:t>
      </w:r>
    </w:p>
    <w:p w14:paraId="739CB854">
      <w:pPr>
        <w:jc w:val="both"/>
        <w:rPr>
          <w:rFonts w:hint="default"/>
          <w:sz w:val="28"/>
          <w:szCs w:val="28"/>
          <w:lang w:val="en-US" w:eastAsia="zh-CN"/>
        </w:rPr>
      </w:pPr>
      <w:r>
        <w:rPr>
          <w:rFonts w:hint="default"/>
          <w:sz w:val="28"/>
          <w:szCs w:val="28"/>
          <w:lang w:val="en-US" w:eastAsia="zh-CN"/>
        </w:rPr>
        <w:t>3. 聚焦中小微企业的个性化服务： 我们坚信“小批量、多批次、高灵活性”是中小微企业的核心需求。因此，公司团队具备高度的敏捷性，能够快速响应客户的个性化需求，提供定制化的物流方案，真正成为客户业务扩展的延伸臂膀。</w:t>
      </w:r>
    </w:p>
    <w:p w14:paraId="5DCF53D9">
      <w:pPr>
        <w:jc w:val="both"/>
        <w:rPr>
          <w:rFonts w:hint="default"/>
          <w:sz w:val="28"/>
          <w:szCs w:val="28"/>
          <w:lang w:val="en-US" w:eastAsia="zh-CN"/>
        </w:rPr>
      </w:pPr>
      <w:r>
        <w:rPr>
          <w:rFonts w:hint="default"/>
          <w:sz w:val="28"/>
          <w:szCs w:val="28"/>
          <w:lang w:val="en-US" w:eastAsia="zh-CN"/>
        </w:rPr>
        <w:t>第四章：智慧物流平台的实际应用——科技如何赋能实践</w:t>
      </w:r>
    </w:p>
    <w:p w14:paraId="2D43A78A">
      <w:pPr>
        <w:jc w:val="both"/>
        <w:rPr>
          <w:rFonts w:hint="default"/>
          <w:sz w:val="28"/>
          <w:szCs w:val="28"/>
          <w:lang w:val="en-US" w:eastAsia="zh-CN"/>
        </w:rPr>
      </w:pPr>
      <w:r>
        <w:rPr>
          <w:rFonts w:hint="default"/>
          <w:sz w:val="28"/>
          <w:szCs w:val="28"/>
          <w:lang w:val="en-US" w:eastAsia="zh-CN"/>
        </w:rPr>
        <w:t>湘祁物流的科技并非空中楼阁，而是切实应用于日常运营的每一个角落，实现“降本增效”的终极目标。</w:t>
      </w:r>
    </w:p>
    <w:p w14:paraId="180977B4">
      <w:pPr>
        <w:jc w:val="both"/>
        <w:rPr>
          <w:rFonts w:hint="default"/>
          <w:sz w:val="28"/>
          <w:szCs w:val="28"/>
          <w:lang w:val="en-US" w:eastAsia="zh-CN"/>
        </w:rPr>
      </w:pPr>
      <w:r>
        <w:rPr>
          <w:rFonts w:hint="default"/>
          <w:sz w:val="28"/>
          <w:szCs w:val="28"/>
          <w:lang w:val="en-US" w:eastAsia="zh-CN"/>
        </w:rPr>
        <w:t>智能订单管理： 客户通过前端界面下单，系统自动生成最优报价和路线推荐，大幅提升沟通效率。</w:t>
      </w:r>
    </w:p>
    <w:p w14:paraId="1A4A4DAD">
      <w:pPr>
        <w:jc w:val="both"/>
        <w:rPr>
          <w:rFonts w:hint="default"/>
          <w:sz w:val="28"/>
          <w:szCs w:val="28"/>
          <w:lang w:val="en-US" w:eastAsia="zh-CN"/>
        </w:rPr>
      </w:pPr>
      <w:r>
        <w:rPr>
          <w:rFonts w:hint="default"/>
          <w:sz w:val="28"/>
          <w:szCs w:val="28"/>
          <w:lang w:val="en-US" w:eastAsia="zh-CN"/>
        </w:rPr>
        <w:t>全流程可视化追踪： 整合GPS、物联网等技术，客户可在平台上实时查看货物位置与状态，如同查询快递一般简单透明，极大缓解了“货物黑箱”带来的焦虑。</w:t>
      </w:r>
    </w:p>
    <w:p w14:paraId="6FEC7AF8">
      <w:pPr>
        <w:jc w:val="both"/>
        <w:rPr>
          <w:rFonts w:hint="default"/>
          <w:sz w:val="28"/>
          <w:szCs w:val="28"/>
          <w:lang w:val="en-US" w:eastAsia="zh-CN"/>
        </w:rPr>
      </w:pPr>
      <w:r>
        <w:rPr>
          <w:rFonts w:hint="default"/>
          <w:sz w:val="28"/>
          <w:szCs w:val="28"/>
          <w:lang w:val="en-US" w:eastAsia="zh-CN"/>
        </w:rPr>
        <w:t xml:space="preserve"> 智慧仓储管理： 运用已授权的专利技术，系统能根据货物的预设目的地和时效要求，智能分配库位、规划拣货路径，并提前预警库存周转情况，最大化提升仓储利用率。</w:t>
      </w:r>
    </w:p>
    <w:p w14:paraId="21A13B4F">
      <w:pPr>
        <w:jc w:val="both"/>
        <w:rPr>
          <w:rFonts w:hint="default"/>
          <w:sz w:val="28"/>
          <w:szCs w:val="28"/>
          <w:lang w:val="en-US" w:eastAsia="zh-CN"/>
        </w:rPr>
      </w:pPr>
      <w:r>
        <w:rPr>
          <w:rFonts w:hint="default"/>
          <w:sz w:val="28"/>
          <w:szCs w:val="28"/>
          <w:lang w:val="en-US" w:eastAsia="zh-CN"/>
        </w:rPr>
        <w:t>· 数据驱动的决策支持： 平台积累的运营数据通过算法分析，能为客户提供市场洞察、物流趋势分析，甚至预测潜在风险，帮助客户做出更明智的供应链决策。</w:t>
      </w:r>
    </w:p>
    <w:p w14:paraId="1FA2B5D1">
      <w:pPr>
        <w:jc w:val="both"/>
        <w:rPr>
          <w:rFonts w:hint="default"/>
          <w:sz w:val="28"/>
          <w:szCs w:val="28"/>
          <w:lang w:val="en-US" w:eastAsia="zh-CN"/>
        </w:rPr>
      </w:pPr>
      <w:r>
        <w:rPr>
          <w:rFonts w:hint="default"/>
          <w:sz w:val="28"/>
          <w:szCs w:val="28"/>
          <w:lang w:val="en-US" w:eastAsia="zh-CN"/>
        </w:rPr>
        <w:t>第五章：未来展望与发展战略——继往开来，智联全球</w:t>
      </w:r>
    </w:p>
    <w:p w14:paraId="0CEA04F7">
      <w:pPr>
        <w:jc w:val="both"/>
        <w:rPr>
          <w:rFonts w:hint="default"/>
          <w:sz w:val="28"/>
          <w:szCs w:val="28"/>
          <w:lang w:val="en-US" w:eastAsia="zh-CN"/>
        </w:rPr>
      </w:pPr>
      <w:r>
        <w:rPr>
          <w:rFonts w:hint="default"/>
          <w:sz w:val="28"/>
          <w:szCs w:val="28"/>
          <w:lang w:val="en-US" w:eastAsia="zh-CN"/>
        </w:rPr>
        <w:t>面向未来，湘祁物流将继续深化“科技+物流”的双轮驱动战略：</w:t>
      </w:r>
    </w:p>
    <w:p w14:paraId="246941DB">
      <w:pPr>
        <w:jc w:val="both"/>
        <w:rPr>
          <w:rFonts w:hint="default"/>
          <w:sz w:val="28"/>
          <w:szCs w:val="28"/>
          <w:lang w:val="en-US" w:eastAsia="zh-CN"/>
        </w:rPr>
      </w:pPr>
      <w:r>
        <w:rPr>
          <w:rFonts w:hint="default"/>
          <w:sz w:val="28"/>
          <w:szCs w:val="28"/>
          <w:lang w:val="en-US" w:eastAsia="zh-CN"/>
        </w:rPr>
        <w:t>1. 技术持续迭代： 加大对人工智能、大数据和区块链技术的研发投入，探索智能报价、风险预测、供应链金融等更前沿的应用场景。</w:t>
      </w:r>
    </w:p>
    <w:p w14:paraId="5EBC2C54">
      <w:pPr>
        <w:jc w:val="both"/>
        <w:rPr>
          <w:rFonts w:hint="default"/>
          <w:sz w:val="28"/>
          <w:szCs w:val="28"/>
          <w:lang w:val="en-US" w:eastAsia="zh-CN"/>
        </w:rPr>
      </w:pPr>
      <w:r>
        <w:rPr>
          <w:rFonts w:hint="default"/>
          <w:sz w:val="28"/>
          <w:szCs w:val="28"/>
          <w:lang w:val="en-US" w:eastAsia="zh-CN"/>
        </w:rPr>
        <w:t>2. 网络深度拓展： 在现有80多个国家的基础上，进一步深耕“一带一路”沿线市场，扩大海外代理网络与自有设施布局，提升本地化服务能力。</w:t>
      </w:r>
    </w:p>
    <w:p w14:paraId="67AF419E">
      <w:pPr>
        <w:jc w:val="both"/>
        <w:rPr>
          <w:rFonts w:hint="default"/>
          <w:sz w:val="28"/>
          <w:szCs w:val="28"/>
          <w:lang w:val="en-US" w:eastAsia="zh-CN"/>
        </w:rPr>
      </w:pPr>
      <w:r>
        <w:rPr>
          <w:rFonts w:hint="default"/>
          <w:sz w:val="28"/>
          <w:szCs w:val="28"/>
          <w:lang w:val="en-US" w:eastAsia="zh-CN"/>
        </w:rPr>
        <w:t>3. 品牌价值提升： 通过提供超预期的客户体验和成功的行业案例，持续提升“湘祁”品牌的知名度和美誉度，从“知名”走向“著名”。</w:t>
      </w:r>
    </w:p>
    <w:p w14:paraId="01A21A05">
      <w:pPr>
        <w:jc w:val="both"/>
        <w:rPr>
          <w:rFonts w:hint="default"/>
          <w:sz w:val="28"/>
          <w:szCs w:val="28"/>
          <w:lang w:val="en-US" w:eastAsia="zh-CN"/>
        </w:rPr>
      </w:pPr>
      <w:r>
        <w:rPr>
          <w:rFonts w:hint="default"/>
          <w:sz w:val="28"/>
          <w:szCs w:val="28"/>
          <w:lang w:val="en-US" w:eastAsia="zh-CN"/>
        </w:rPr>
        <w:t>4. 人才战略： 吸引和培养既懂物流业务又精通信息技术的复合型人才，为公司的长远发展储备核心动能。</w:t>
      </w:r>
    </w:p>
    <w:p w14:paraId="4A178763">
      <w:pPr>
        <w:ind w:firstLine="565" w:firstLineChars="202"/>
        <w:rPr>
          <w:rFonts w:hint="eastAsia"/>
          <w:sz w:val="28"/>
          <w:szCs w:val="28"/>
        </w:rPr>
      </w:pPr>
    </w:p>
    <w:p w14:paraId="715C6611">
      <w:pPr>
        <w:ind w:firstLine="565" w:firstLineChars="202"/>
        <w:rPr>
          <w:rFonts w:hint="eastAsia"/>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F03397"/>
    <w:multiLevelType w:val="singleLevel"/>
    <w:tmpl w:val="A2F03397"/>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0E5"/>
    <w:rsid w:val="005A3158"/>
    <w:rsid w:val="0070019F"/>
    <w:rsid w:val="007478F3"/>
    <w:rsid w:val="00954D01"/>
    <w:rsid w:val="00A418DC"/>
    <w:rsid w:val="00D410E5"/>
    <w:rsid w:val="00DD0A3E"/>
    <w:rsid w:val="069C5BBD"/>
    <w:rsid w:val="0D614084"/>
    <w:rsid w:val="16822B65"/>
    <w:rsid w:val="19A143A4"/>
    <w:rsid w:val="340523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0"/>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1"/>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5"/>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qFormat/>
    <w:uiPriority w:val="9"/>
    <w:rPr>
      <w:rFonts w:asciiTheme="majorHAnsi" w:hAnsiTheme="majorHAnsi" w:eastAsiaTheme="majorEastAsia" w:cstheme="majorBidi"/>
      <w:color w:val="2F5597" w:themeColor="accent1" w:themeShade="BF"/>
      <w:sz w:val="48"/>
      <w:szCs w:val="48"/>
    </w:rPr>
  </w:style>
  <w:style w:type="character" w:customStyle="1" w:styleId="16">
    <w:name w:val="标题 2 字符"/>
    <w:basedOn w:val="14"/>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17">
    <w:name w:val="标题 3 字符"/>
    <w:basedOn w:val="14"/>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18">
    <w:name w:val="标题 4 字符"/>
    <w:basedOn w:val="14"/>
    <w:link w:val="5"/>
    <w:semiHidden/>
    <w:uiPriority w:val="9"/>
    <w:rPr>
      <w:rFonts w:cstheme="majorBidi"/>
      <w:color w:val="2F5597" w:themeColor="accent1" w:themeShade="BF"/>
      <w:sz w:val="28"/>
      <w:szCs w:val="28"/>
    </w:rPr>
  </w:style>
  <w:style w:type="character" w:customStyle="1" w:styleId="19">
    <w:name w:val="标题 5 字符"/>
    <w:basedOn w:val="14"/>
    <w:link w:val="6"/>
    <w:semiHidden/>
    <w:qFormat/>
    <w:uiPriority w:val="9"/>
    <w:rPr>
      <w:rFonts w:cstheme="majorBidi"/>
      <w:color w:val="2F5597" w:themeColor="accent1" w:themeShade="BF"/>
      <w:sz w:val="24"/>
    </w:rPr>
  </w:style>
  <w:style w:type="character" w:customStyle="1" w:styleId="20">
    <w:name w:val="标题 6 字符"/>
    <w:basedOn w:val="14"/>
    <w:link w:val="7"/>
    <w:semiHidden/>
    <w:qFormat/>
    <w:uiPriority w:val="9"/>
    <w:rPr>
      <w:rFonts w:cstheme="majorBidi"/>
      <w:b/>
      <w:bCs/>
      <w:color w:val="2F5597" w:themeColor="accent1" w:themeShade="BF"/>
    </w:rPr>
  </w:style>
  <w:style w:type="character" w:customStyle="1" w:styleId="21">
    <w:name w:val="标题 7 字符"/>
    <w:basedOn w:val="14"/>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qFormat/>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明显引用 字符"/>
    <w:basedOn w:val="14"/>
    <w:link w:val="30"/>
    <w:qFormat/>
    <w:uiPriority w:val="30"/>
    <w:rPr>
      <w:i/>
      <w:iCs/>
      <w:color w:val="2F5597" w:themeColor="accent1" w:themeShade="BF"/>
    </w:rPr>
  </w:style>
  <w:style w:type="character" w:customStyle="1" w:styleId="32">
    <w:name w:val="Intense Reference"/>
    <w:basedOn w:val="14"/>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1990</Words>
  <Characters>2015</Characters>
  <Lines>4</Lines>
  <Paragraphs>1</Paragraphs>
  <TotalTime>14</TotalTime>
  <ScaleCrop>false</ScaleCrop>
  <LinksUpToDate>false</LinksUpToDate>
  <CharactersWithSpaces>2043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2025-05-12T03:04:00Z</dcterms:created>
  <dc:creator>良勇 张</dc:creator>
  <cp:lastModifiedBy>寒冬茅草</cp:lastModifiedBy>
  <dcterms:modified xsi:type="dcterms:W3CDTF">2025-12-12T11:04:37Z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eyJoZGlkIjoiMDljYzUzMWQ4OWI0YzBkYjYzMDRhZTY5ZjZkYmFmYTgiLCJ1c2VySWQiOiI1MDIwNjQ2MTcifQ==</vt:lpwstr>
  </property>
  <property fmtid="{D5CDD505-2E9C-101B-9397-08002B2CF9AE}" pid="3" name="KSOProductBuildVer">
    <vt:lpwstr>2052-12.1.0.24034</vt:lpwstr>
  </property>
  <property fmtid="{D5CDD505-2E9C-101B-9397-08002B2CF9AE}" pid="4" name="ICV">
    <vt:lpwstr>1C22B2588F2B4D819DFA0568BF353C38_13</vt:lpwstr>
  </property>
</Properties>
</file>